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center"/>
        <w:textAlignment w:val="baseline"/>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云南省林业和草原科学院亚太森林青年学者交流中心电视机采购</w:t>
      </w:r>
      <w:r>
        <w:rPr>
          <w:rFonts w:hint="eastAsia" w:ascii="方正小标宋_GBK" w:hAnsi="方正小标宋_GBK" w:eastAsia="方正小标宋_GBK" w:cs="方正小标宋_GBK"/>
          <w:b w:val="0"/>
          <w:bCs w:val="0"/>
          <w:sz w:val="44"/>
          <w:szCs w:val="44"/>
          <w:lang w:val="en-US" w:eastAsia="zh-CN"/>
        </w:rPr>
        <w:t>评审办法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Theme="minorEastAsia" w:hAnsiTheme="minorEastAsia" w:eastAsiaTheme="minorEastAsia" w:cstheme="minorEastAsia"/>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黑体_GBK" w:hAnsi="方正黑体_GBK" w:eastAsia="方正黑体_GBK" w:cs="方正黑体_GBK"/>
          <w:i w:val="0"/>
          <w:caps w:val="0"/>
          <w:color w:val="auto"/>
          <w:spacing w:val="0"/>
          <w:sz w:val="32"/>
          <w:szCs w:val="32"/>
          <w:shd w:val="clear" w:fill="FFFFFF"/>
          <w:vertAlign w:val="baseline"/>
          <w:lang w:eastAsia="zh-CN"/>
        </w:rPr>
      </w:pPr>
      <w:r>
        <w:rPr>
          <w:rFonts w:hint="eastAsia" w:ascii="方正黑体_GBK" w:hAnsi="方正黑体_GBK" w:eastAsia="方正黑体_GBK" w:cs="方正黑体_GBK"/>
          <w:i w:val="0"/>
          <w:caps w:val="0"/>
          <w:color w:val="auto"/>
          <w:spacing w:val="0"/>
          <w:sz w:val="32"/>
          <w:szCs w:val="32"/>
          <w:shd w:val="clear" w:fill="FFFFFF"/>
          <w:vertAlign w:val="baseline"/>
          <w:lang w:eastAsia="zh-CN"/>
        </w:rPr>
        <w:t>一、评审办法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rPr>
        <w:t>本次评审采用综合评分法</w:t>
      </w:r>
      <w:r>
        <w:rPr>
          <w:rFonts w:hint="eastAsia" w:ascii="方正仿宋_GBK" w:hAnsi="方正仿宋_GBK" w:eastAsia="方正仿宋_GBK" w:cs="方正仿宋_GBK"/>
          <w:i w:val="0"/>
          <w:caps w:val="0"/>
          <w:color w:val="auto"/>
          <w:spacing w:val="0"/>
          <w:sz w:val="32"/>
          <w:szCs w:val="32"/>
          <w:shd w:val="clear" w:fill="FFFFFF"/>
          <w:vertAlign w:val="baseline"/>
          <w:lang w:eastAsia="zh-CN"/>
        </w:rPr>
        <w:t>，</w:t>
      </w:r>
      <w:r>
        <w:rPr>
          <w:rFonts w:hint="eastAsia" w:ascii="方正仿宋_GBK" w:hAnsi="方正仿宋_GBK" w:eastAsia="方正仿宋_GBK" w:cs="方正仿宋_GBK"/>
          <w:i w:val="0"/>
          <w:caps w:val="0"/>
          <w:color w:val="auto"/>
          <w:spacing w:val="0"/>
          <w:sz w:val="32"/>
          <w:szCs w:val="32"/>
          <w:shd w:val="clear" w:fill="FFFFFF"/>
          <w:vertAlign w:val="baseline"/>
        </w:rPr>
        <w:t>是指投标文件满足招标文件全部实质性要求，且按照评审因素的量化指标评审得分最高的投标人为中标候选人的评标方法。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黑体_GBK" w:hAnsi="方正黑体_GBK" w:eastAsia="方正黑体_GBK" w:cs="方正黑体_GBK"/>
          <w:i w:val="0"/>
          <w:caps w:val="0"/>
          <w:color w:val="auto"/>
          <w:spacing w:val="0"/>
          <w:sz w:val="32"/>
          <w:szCs w:val="32"/>
          <w:shd w:val="clear" w:fill="FFFFFF"/>
          <w:vertAlign w:val="baseline"/>
        </w:rPr>
      </w:pPr>
      <w:r>
        <w:rPr>
          <w:rFonts w:hint="eastAsia" w:ascii="方正黑体_GBK" w:hAnsi="方正黑体_GBK" w:eastAsia="方正黑体_GBK" w:cs="方正黑体_GBK"/>
          <w:i w:val="0"/>
          <w:caps w:val="0"/>
          <w:color w:val="auto"/>
          <w:spacing w:val="0"/>
          <w:sz w:val="32"/>
          <w:szCs w:val="32"/>
          <w:shd w:val="clear" w:fill="FFFFFF"/>
          <w:vertAlign w:val="baseline"/>
          <w:lang w:eastAsia="zh-CN"/>
        </w:rPr>
        <w:t>二、</w:t>
      </w:r>
      <w:r>
        <w:rPr>
          <w:rFonts w:hint="eastAsia" w:ascii="方正黑体_GBK" w:hAnsi="方正黑体_GBK" w:eastAsia="方正黑体_GBK" w:cs="方正黑体_GBK"/>
          <w:i w:val="0"/>
          <w:caps w:val="0"/>
          <w:color w:val="auto"/>
          <w:spacing w:val="0"/>
          <w:sz w:val="32"/>
          <w:szCs w:val="32"/>
          <w:shd w:val="clear" w:fill="FFFFFF"/>
          <w:vertAlign w:val="baseline"/>
        </w:rPr>
        <w:t>评审标准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lang w:eastAsia="zh-CN"/>
        </w:rPr>
        <w:t>（一）</w:t>
      </w:r>
      <w:r>
        <w:rPr>
          <w:rFonts w:hint="eastAsia" w:ascii="方正仿宋_GBK" w:hAnsi="方正仿宋_GBK" w:eastAsia="方正仿宋_GBK" w:cs="方正仿宋_GBK"/>
          <w:i w:val="0"/>
          <w:caps w:val="0"/>
          <w:color w:val="auto"/>
          <w:spacing w:val="0"/>
          <w:sz w:val="32"/>
          <w:szCs w:val="32"/>
          <w:shd w:val="clear" w:fill="FFFFFF"/>
          <w:vertAlign w:val="baseline"/>
        </w:rPr>
        <w:t>本次评审共分为技术评审、商务评审、价格评审三部分。三部分总分为100分，其中</w:t>
      </w:r>
      <w:r>
        <w:rPr>
          <w:rFonts w:hint="eastAsia" w:ascii="方正仿宋_GBK" w:hAnsi="方正仿宋_GBK" w:eastAsia="方正仿宋_GBK" w:cs="方正仿宋_GBK"/>
          <w:i w:val="0"/>
          <w:caps w:val="0"/>
          <w:color w:val="auto"/>
          <w:spacing w:val="0"/>
          <w:sz w:val="32"/>
          <w:szCs w:val="32"/>
          <w:shd w:val="clear" w:fill="FFFFFF"/>
          <w:vertAlign w:val="baseline"/>
          <w:lang w:eastAsia="zh-CN"/>
        </w:rPr>
        <w:t>价格评分权重</w:t>
      </w:r>
      <w:r>
        <w:rPr>
          <w:rFonts w:hint="eastAsia" w:ascii="方正仿宋_GBK" w:hAnsi="方正仿宋_GBK" w:eastAsia="方正仿宋_GBK" w:cs="方正仿宋_GBK"/>
          <w:i w:val="0"/>
          <w:caps w:val="0"/>
          <w:color w:val="auto"/>
          <w:spacing w:val="0"/>
          <w:sz w:val="32"/>
          <w:szCs w:val="32"/>
          <w:shd w:val="clear" w:fill="FFFFFF"/>
          <w:vertAlign w:val="baseline"/>
          <w:lang w:val="en-US" w:eastAsia="zh-CN"/>
        </w:rPr>
        <w:t>40分、商务评分</w:t>
      </w:r>
      <w:r>
        <w:rPr>
          <w:rFonts w:hint="eastAsia" w:ascii="方正仿宋_GBK" w:hAnsi="方正仿宋_GBK" w:eastAsia="方正仿宋_GBK" w:cs="方正仿宋_GBK"/>
          <w:i w:val="0"/>
          <w:caps w:val="0"/>
          <w:color w:val="auto"/>
          <w:spacing w:val="0"/>
          <w:sz w:val="32"/>
          <w:szCs w:val="32"/>
          <w:shd w:val="clear" w:fill="FFFFFF"/>
          <w:vertAlign w:val="baseline"/>
          <w:lang w:eastAsia="zh-CN"/>
        </w:rPr>
        <w:t>权重</w:t>
      </w:r>
      <w:r>
        <w:rPr>
          <w:rFonts w:hint="eastAsia" w:ascii="方正仿宋_GBK" w:hAnsi="方正仿宋_GBK" w:eastAsia="方正仿宋_GBK" w:cs="方正仿宋_GBK"/>
          <w:i w:val="0"/>
          <w:caps w:val="0"/>
          <w:color w:val="auto"/>
          <w:spacing w:val="0"/>
          <w:sz w:val="32"/>
          <w:szCs w:val="32"/>
          <w:shd w:val="clear" w:fill="FFFFFF"/>
          <w:vertAlign w:val="baseline"/>
          <w:lang w:val="en-US" w:eastAsia="zh-CN"/>
        </w:rPr>
        <w:t>15分、技术评分</w:t>
      </w:r>
      <w:r>
        <w:rPr>
          <w:rFonts w:hint="eastAsia" w:ascii="方正仿宋_GBK" w:hAnsi="方正仿宋_GBK" w:eastAsia="方正仿宋_GBK" w:cs="方正仿宋_GBK"/>
          <w:i w:val="0"/>
          <w:caps w:val="0"/>
          <w:color w:val="auto"/>
          <w:spacing w:val="0"/>
          <w:sz w:val="32"/>
          <w:szCs w:val="32"/>
          <w:shd w:val="clear" w:fill="FFFFFF"/>
          <w:vertAlign w:val="baseline"/>
          <w:lang w:eastAsia="zh-CN"/>
        </w:rPr>
        <w:t>权重</w:t>
      </w:r>
      <w:r>
        <w:rPr>
          <w:rFonts w:hint="eastAsia" w:ascii="方正仿宋_GBK" w:hAnsi="方正仿宋_GBK" w:eastAsia="方正仿宋_GBK" w:cs="方正仿宋_GBK"/>
          <w:i w:val="0"/>
          <w:caps w:val="0"/>
          <w:color w:val="auto"/>
          <w:spacing w:val="0"/>
          <w:sz w:val="32"/>
          <w:szCs w:val="32"/>
          <w:shd w:val="clear" w:fill="FFFFFF"/>
          <w:vertAlign w:val="baseline"/>
          <w:lang w:val="en-US" w:eastAsia="zh-CN"/>
        </w:rPr>
        <w:t>45分</w:t>
      </w:r>
      <w:r>
        <w:rPr>
          <w:rFonts w:hint="eastAsia" w:ascii="方正仿宋_GBK" w:hAnsi="方正仿宋_GBK" w:eastAsia="方正仿宋_GBK" w:cs="方正仿宋_GBK"/>
          <w:i w:val="0"/>
          <w:caps w:val="0"/>
          <w:color w:val="auto"/>
          <w:spacing w:val="0"/>
          <w:sz w:val="32"/>
          <w:szCs w:val="32"/>
          <w:shd w:val="clear" w:fill="FFFFFF"/>
          <w:vertAlign w:val="baseline"/>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lang w:eastAsia="zh-CN"/>
        </w:rPr>
        <w:t>（二）</w:t>
      </w:r>
      <w:r>
        <w:rPr>
          <w:rFonts w:hint="eastAsia" w:ascii="方正仿宋_GBK" w:hAnsi="方正仿宋_GBK" w:eastAsia="方正仿宋_GBK" w:cs="方正仿宋_GBK"/>
          <w:i w:val="0"/>
          <w:caps w:val="0"/>
          <w:color w:val="auto"/>
          <w:spacing w:val="0"/>
          <w:sz w:val="32"/>
          <w:szCs w:val="32"/>
          <w:shd w:val="clear" w:fill="FFFFFF"/>
          <w:vertAlign w:val="baseline"/>
        </w:rPr>
        <w:t>在汇总每个投标供应商的技术、商务定量评价分数时，将所有评委评分合计并计算出算术平均值，即为该投标供应商的技术、商务得分。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lang w:eastAsia="zh-CN"/>
        </w:rPr>
        <w:t>（三）</w:t>
      </w:r>
      <w:r>
        <w:rPr>
          <w:rFonts w:hint="eastAsia" w:ascii="方正仿宋_GBK" w:hAnsi="方正仿宋_GBK" w:eastAsia="方正仿宋_GBK" w:cs="方正仿宋_GBK"/>
          <w:i w:val="0"/>
          <w:caps w:val="0"/>
          <w:color w:val="auto"/>
          <w:spacing w:val="0"/>
          <w:sz w:val="32"/>
          <w:szCs w:val="32"/>
          <w:shd w:val="clear" w:fill="FFFFFF"/>
          <w:vertAlign w:val="baseline"/>
        </w:rPr>
        <w:t>价格评价（40分）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rPr>
        <w:t>价格分统一采用低价优先法计算，即满足招标文件要求（通过资格性审查和符合性审查）且价格最低的评标价（指修正及价格扣除后报价，下同）为评标基准价，其价格分为满分。其他投标人的价格分统一按照下列公式计算：评分=（评标基准价／评标价）×价格权重×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jc w:val="both"/>
        <w:textAlignment w:val="baseline"/>
        <w:outlineLvl w:val="9"/>
        <w:rPr>
          <w:rFonts w:hint="eastAsia" w:asciiTheme="minorEastAsia" w:hAnsiTheme="minorEastAsia" w:eastAsiaTheme="minorEastAsia" w:cstheme="minorEastAsia"/>
          <w:i w:val="0"/>
          <w:caps w:val="0"/>
          <w:color w:val="auto"/>
          <w:spacing w:val="0"/>
          <w:sz w:val="32"/>
          <w:szCs w:val="32"/>
          <w:shd w:val="clear" w:fill="FFFFFF"/>
          <w:vertAlign w:val="baseli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lang w:eastAsia="zh-CN"/>
        </w:rPr>
        <w:t>（四）</w:t>
      </w:r>
      <w:r>
        <w:rPr>
          <w:rFonts w:hint="eastAsia" w:ascii="方正仿宋_GBK" w:hAnsi="方正仿宋_GBK" w:eastAsia="方正仿宋_GBK" w:cs="方正仿宋_GBK"/>
          <w:i w:val="0"/>
          <w:caps w:val="0"/>
          <w:color w:val="auto"/>
          <w:spacing w:val="0"/>
          <w:sz w:val="32"/>
          <w:szCs w:val="32"/>
          <w:shd w:val="clear" w:fill="FFFFFF"/>
          <w:vertAlign w:val="baseline"/>
        </w:rPr>
        <w:t>商务评价（15分）</w:t>
      </w:r>
    </w:p>
    <w:tbl>
      <w:tblPr>
        <w:tblStyle w:val="5"/>
        <w:tblW w:w="83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42"/>
        <w:gridCol w:w="2545"/>
        <w:gridCol w:w="1955"/>
        <w:gridCol w:w="1254"/>
        <w:gridCol w:w="80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序号</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评审内容</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优</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良</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差</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评分权重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商务条款及合同条款的响应性</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1分</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0分</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近</w:t>
            </w:r>
            <w:r>
              <w:rPr>
                <w:rFonts w:hint="eastAsia" w:asciiTheme="minorEastAsia" w:hAnsiTheme="minorEastAsia" w:cstheme="minorEastAsia"/>
                <w:color w:val="auto"/>
                <w:sz w:val="21"/>
                <w:szCs w:val="21"/>
                <w:vertAlign w:val="baseline"/>
                <w:lang w:eastAsia="zh-CN"/>
              </w:rPr>
              <w:t>一</w:t>
            </w:r>
            <w:r>
              <w:rPr>
                <w:rFonts w:hint="eastAsia" w:asciiTheme="minorEastAsia" w:hAnsiTheme="minorEastAsia" w:eastAsiaTheme="minorEastAsia" w:cstheme="minorEastAsia"/>
                <w:color w:val="auto"/>
                <w:sz w:val="21"/>
                <w:szCs w:val="21"/>
                <w:vertAlign w:val="baseline"/>
              </w:rPr>
              <w:t>年以来同类产品业绩（提供中标通书、合同证明文件）</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1分</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0分</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经营状况（提供经会计师事务所相关证明文件）</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3分</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1分</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4</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企业信誉、资信状况（提供证明文件）</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3分</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1分</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5</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投标人的履约能力</w:t>
            </w:r>
          </w:p>
        </w:tc>
        <w:tc>
          <w:tcPr>
            <w:tcW w:w="195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c>
          <w:tcPr>
            <w:tcW w:w="1254"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1分</w:t>
            </w:r>
          </w:p>
        </w:tc>
        <w:tc>
          <w:tcPr>
            <w:tcW w:w="80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0分</w:t>
            </w:r>
          </w:p>
        </w:tc>
        <w:tc>
          <w:tcPr>
            <w:tcW w:w="131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42"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6</w:t>
            </w:r>
          </w:p>
        </w:tc>
        <w:tc>
          <w:tcPr>
            <w:tcW w:w="2545"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商品</w:t>
            </w:r>
            <w:r>
              <w:rPr>
                <w:rFonts w:hint="eastAsia" w:asciiTheme="minorEastAsia" w:hAnsiTheme="minorEastAsia" w:eastAsiaTheme="minorEastAsia" w:cstheme="minorEastAsia"/>
                <w:color w:val="auto"/>
                <w:sz w:val="21"/>
                <w:szCs w:val="21"/>
                <w:vertAlign w:val="baseline"/>
              </w:rPr>
              <w:t>厂家授权</w:t>
            </w:r>
          </w:p>
        </w:tc>
        <w:tc>
          <w:tcPr>
            <w:tcW w:w="5329" w:type="dxa"/>
            <w:gridSpan w:val="4"/>
            <w:tcBorders>
              <w:tl2br w:val="nil"/>
              <w:tr2bl w:val="nil"/>
            </w:tcBorders>
            <w:shd w:val="clear" w:color="auto" w:fill="auto"/>
            <w:vAlign w:val="center"/>
          </w:tcPr>
          <w:p>
            <w:pPr>
              <w:jc w:val="left"/>
              <w:rPr>
                <w:rFonts w:hint="eastAsia" w:asciiTheme="minorEastAsia" w:hAnsiTheme="minorEastAsia" w:eastAsiaTheme="minorEastAsia" w:cstheme="minorEastAsia"/>
                <w:color w:val="auto"/>
                <w:sz w:val="21"/>
                <w:szCs w:val="21"/>
                <w:vertAlign w:val="baseline"/>
              </w:rPr>
            </w:pPr>
            <w:r>
              <w:rPr>
                <w:rFonts w:hint="eastAsia" w:asciiTheme="minorEastAsia" w:hAnsiTheme="minorEastAsia" w:eastAsiaTheme="minorEastAsia" w:cstheme="minorEastAsia"/>
                <w:color w:val="auto"/>
                <w:sz w:val="21"/>
                <w:szCs w:val="21"/>
                <w:vertAlign w:val="baseline"/>
              </w:rPr>
              <w:t>能提供生产厂家或代理商授权书的得3分，不能提供或提供不完整的不得分。（如投标人为产品生产厂家则视为有授权）</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both"/>
        <w:textAlignment w:val="baseline"/>
        <w:rPr>
          <w:rFonts w:hint="eastAsia" w:asciiTheme="minorEastAsia" w:hAnsiTheme="minorEastAsia" w:eastAsiaTheme="minorEastAsia" w:cstheme="minorEastAsia"/>
          <w:i w:val="0"/>
          <w:caps w:val="0"/>
          <w:color w:val="auto"/>
          <w:spacing w:val="0"/>
          <w:sz w:val="32"/>
          <w:szCs w:val="32"/>
          <w:shd w:val="clear" w:fill="FFFFFF"/>
          <w:vertAlign w:val="baseline"/>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baseline"/>
        <w:outlineLvl w:val="9"/>
        <w:rPr>
          <w:rFonts w:hint="eastAsia" w:ascii="方正仿宋_GBK" w:hAnsi="方正仿宋_GBK" w:eastAsia="方正仿宋_GBK" w:cs="方正仿宋_GBK"/>
          <w:i w:val="0"/>
          <w:caps w:val="0"/>
          <w:color w:val="auto"/>
          <w:spacing w:val="0"/>
          <w:sz w:val="32"/>
          <w:szCs w:val="32"/>
          <w:shd w:val="clear" w:fill="FFFFFF"/>
          <w:vertAlign w:val="baseline"/>
        </w:rPr>
      </w:pPr>
      <w:r>
        <w:rPr>
          <w:rFonts w:hint="eastAsia" w:ascii="方正仿宋_GBK" w:hAnsi="方正仿宋_GBK" w:eastAsia="方正仿宋_GBK" w:cs="方正仿宋_GBK"/>
          <w:i w:val="0"/>
          <w:caps w:val="0"/>
          <w:color w:val="auto"/>
          <w:spacing w:val="0"/>
          <w:sz w:val="32"/>
          <w:szCs w:val="32"/>
          <w:shd w:val="clear" w:fill="FFFFFF"/>
          <w:vertAlign w:val="baseline"/>
          <w:lang w:eastAsia="zh-CN"/>
        </w:rPr>
        <w:t>（五）</w:t>
      </w:r>
      <w:r>
        <w:rPr>
          <w:rFonts w:hint="eastAsia" w:ascii="方正仿宋_GBK" w:hAnsi="方正仿宋_GBK" w:eastAsia="方正仿宋_GBK" w:cs="方正仿宋_GBK"/>
          <w:i w:val="0"/>
          <w:caps w:val="0"/>
          <w:color w:val="auto"/>
          <w:spacing w:val="0"/>
          <w:sz w:val="32"/>
          <w:szCs w:val="32"/>
          <w:shd w:val="clear" w:fill="FFFFFF"/>
          <w:vertAlign w:val="baseline"/>
        </w:rPr>
        <w:t>技术评价（45分）</w:t>
      </w:r>
    </w:p>
    <w:tbl>
      <w:tblPr>
        <w:tblStyle w:val="5"/>
        <w:tblW w:w="83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60"/>
        <w:gridCol w:w="1570"/>
        <w:gridCol w:w="51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序号</w:t>
            </w:r>
          </w:p>
        </w:tc>
        <w:tc>
          <w:tcPr>
            <w:tcW w:w="157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评审内容</w:t>
            </w:r>
          </w:p>
        </w:tc>
        <w:tc>
          <w:tcPr>
            <w:tcW w:w="51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评分细则</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Style w:val="4"/>
                <w:rFonts w:hint="eastAsia" w:asciiTheme="minorEastAsia" w:hAnsiTheme="minorEastAsia" w:eastAsiaTheme="minorEastAsia" w:cstheme="minorEastAsia"/>
                <w:b/>
                <w:color w:val="auto"/>
                <w:sz w:val="21"/>
                <w:szCs w:val="21"/>
                <w:vertAlign w:val="baseline"/>
              </w:rPr>
              <w:t>评分权重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1</w:t>
            </w:r>
          </w:p>
        </w:tc>
        <w:tc>
          <w:tcPr>
            <w:tcW w:w="1570"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投标设备的技术参数、性能、材质、配置的符合性</w:t>
            </w:r>
          </w:p>
        </w:tc>
        <w:tc>
          <w:tcPr>
            <w:tcW w:w="5143"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完全满足或优于用户需求中的技术参数、性能、材质、配置等，得24分；每条一般技术参数负偏离，扣3分，扣完为止。</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2</w:t>
            </w:r>
          </w:p>
        </w:tc>
        <w:tc>
          <w:tcPr>
            <w:tcW w:w="1570"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投标设备技术先进性和可靠性</w:t>
            </w:r>
          </w:p>
        </w:tc>
        <w:tc>
          <w:tcPr>
            <w:tcW w:w="5143"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技术水平在同类产品中领先，技术成熟性、设备可靠性强，明显优于同类产品，得8分；技术水平在同类产品中属于中等，技术成熟性、设备可靠性一般，得5分；技术水平在同类产品中较落后，技术成熟性、设备可靠性较差，得2分。</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w:t>
            </w:r>
          </w:p>
        </w:tc>
        <w:tc>
          <w:tcPr>
            <w:tcW w:w="1570"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投标设备的制造商及知名度、在中国的业绩</w:t>
            </w:r>
          </w:p>
        </w:tc>
        <w:tc>
          <w:tcPr>
            <w:tcW w:w="5143"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由评委对各投标人投标主要货物的制造商的生产水平及品牌美誉度、在中国市场占有率情况进行综合评价，优者得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5分；较好得3分、一般1分，差0分。</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4</w:t>
            </w:r>
          </w:p>
        </w:tc>
        <w:tc>
          <w:tcPr>
            <w:tcW w:w="1570"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供货及验收方案</w:t>
            </w:r>
          </w:p>
        </w:tc>
        <w:tc>
          <w:tcPr>
            <w:tcW w:w="5143"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根据各投标人的供货方案及验收方案进行综合评价。优者得3分；较好得2分、一般1分，无供货及验收方案，得0分。</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560"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5</w:t>
            </w:r>
          </w:p>
        </w:tc>
        <w:tc>
          <w:tcPr>
            <w:tcW w:w="1570"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技术支持及售后服务方案</w:t>
            </w:r>
          </w:p>
        </w:tc>
        <w:tc>
          <w:tcPr>
            <w:tcW w:w="5143" w:type="dxa"/>
            <w:tcBorders>
              <w:tl2br w:val="nil"/>
              <w:tr2bl w:val="nil"/>
            </w:tcBorders>
            <w:shd w:val="clear" w:color="auto" w:fill="auto"/>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对各投标人的提供的技术支持及售后服务方案（包括但不限于质保期、维护保养和应急维修的安排、技术人员支持、技术培训等内容）进行综合评价。优者得5分；较好得3分、一般1分，无方案，得0分。</w:t>
            </w:r>
          </w:p>
        </w:tc>
        <w:tc>
          <w:tcPr>
            <w:tcW w:w="1043" w:type="dxa"/>
            <w:tcBorders>
              <w:tl2br w:val="nil"/>
              <w:tr2bl w:val="nil"/>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vertAlign w:val="baseline"/>
              </w:rPr>
              <w:t>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ingFang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60426"/>
    <w:rsid w:val="2BA96C8F"/>
    <w:rsid w:val="43064773"/>
    <w:rsid w:val="432A03FC"/>
    <w:rsid w:val="60F0098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LKY</dc:creator>
  <cp:lastModifiedBy>Lenovo</cp:lastModifiedBy>
  <dcterms:modified xsi:type="dcterms:W3CDTF">2022-04-27T04:05:01Z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