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510"/>
        <w:gridCol w:w="992"/>
        <w:gridCol w:w="567"/>
        <w:gridCol w:w="646"/>
        <w:gridCol w:w="1134"/>
      </w:tblGrid>
      <w:tr w:rsidR="00A81C35" w:rsidTr="00B61D99">
        <w:trPr>
          <w:trHeight w:val="1055"/>
          <w:jc w:val="center"/>
        </w:trPr>
        <w:tc>
          <w:tcPr>
            <w:tcW w:w="1276" w:type="dxa"/>
            <w:vAlign w:val="center"/>
          </w:tcPr>
          <w:p w:rsidR="00A81C35" w:rsidRDefault="00A81C35" w:rsidP="00B61D99">
            <w:pPr>
              <w:widowControl/>
              <w:jc w:val="center"/>
              <w:rPr>
                <w:rFonts w:ascii="黑体" w:hAnsi="黑体" w:cs="@MingLiU"/>
                <w:b/>
                <w:bCs/>
                <w:kern w:val="0"/>
                <w:szCs w:val="21"/>
              </w:rPr>
            </w:pPr>
            <w:r>
              <w:rPr>
                <w:rFonts w:ascii="黑体" w:hAnsi="黑体" w:cs="@MingLiU" w:hint="eastAsia"/>
                <w:b/>
                <w:bCs/>
                <w:kern w:val="0"/>
                <w:szCs w:val="21"/>
              </w:rPr>
              <w:t>产品（项目）名称</w:t>
            </w:r>
          </w:p>
        </w:tc>
        <w:tc>
          <w:tcPr>
            <w:tcW w:w="4510" w:type="dxa"/>
            <w:vAlign w:val="center"/>
          </w:tcPr>
          <w:p w:rsidR="00A81C35" w:rsidRDefault="00A81C35" w:rsidP="00B61D99">
            <w:pPr>
              <w:widowControl/>
              <w:jc w:val="center"/>
              <w:rPr>
                <w:rFonts w:ascii="黑体" w:hAnsi="黑体" w:cs="黑体"/>
                <w:b/>
                <w:bCs/>
                <w:kern w:val="0"/>
                <w:szCs w:val="21"/>
              </w:rPr>
            </w:pPr>
            <w:r>
              <w:rPr>
                <w:rFonts w:ascii="黑体" w:hAnsi="黑体" w:cs="黑体" w:hint="eastAsia"/>
                <w:b/>
                <w:bCs/>
                <w:kern w:val="0"/>
                <w:szCs w:val="21"/>
              </w:rPr>
              <w:t>规格（技术参数、性能要求）</w:t>
            </w:r>
          </w:p>
        </w:tc>
        <w:tc>
          <w:tcPr>
            <w:tcW w:w="992" w:type="dxa"/>
            <w:noWrap/>
            <w:vAlign w:val="center"/>
          </w:tcPr>
          <w:p w:rsidR="00A81C35" w:rsidRDefault="00A81C35" w:rsidP="00B61D99">
            <w:pPr>
              <w:widowControl/>
              <w:jc w:val="center"/>
              <w:rPr>
                <w:rFonts w:ascii="黑体" w:hAnsi="黑体" w:cs="@MingLiU"/>
                <w:b/>
                <w:bCs/>
                <w:kern w:val="0"/>
                <w:szCs w:val="21"/>
              </w:rPr>
            </w:pPr>
            <w:r>
              <w:rPr>
                <w:rFonts w:ascii="黑体" w:hAnsi="黑体" w:cs="@MingLiU" w:hint="eastAsia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567" w:type="dxa"/>
            <w:vAlign w:val="center"/>
          </w:tcPr>
          <w:p w:rsidR="00A81C35" w:rsidRDefault="00A81C35" w:rsidP="00B61D99">
            <w:pPr>
              <w:widowControl/>
              <w:jc w:val="center"/>
              <w:rPr>
                <w:rFonts w:ascii="黑体" w:hAnsi="黑体" w:cs="@MingLiU"/>
                <w:b/>
                <w:bCs/>
                <w:kern w:val="0"/>
                <w:szCs w:val="21"/>
              </w:rPr>
            </w:pPr>
            <w:r>
              <w:rPr>
                <w:rFonts w:ascii="黑体" w:hAnsi="黑体" w:cs="@MingLiU" w:hint="eastAsia"/>
                <w:b/>
                <w:bCs/>
                <w:kern w:val="0"/>
                <w:szCs w:val="21"/>
              </w:rPr>
              <w:t>计量</w:t>
            </w:r>
            <w:r>
              <w:rPr>
                <w:rFonts w:ascii="黑体" w:hAnsi="黑体" w:cs="@MingLiU" w:hint="eastAsia"/>
                <w:b/>
                <w:bCs/>
                <w:kern w:val="0"/>
                <w:szCs w:val="21"/>
              </w:rPr>
              <w:br/>
            </w:r>
            <w:r>
              <w:rPr>
                <w:rFonts w:ascii="黑体" w:hAnsi="黑体" w:cs="@MingLiU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646" w:type="dxa"/>
            <w:vAlign w:val="center"/>
          </w:tcPr>
          <w:p w:rsidR="00A81C35" w:rsidRDefault="00A81C35" w:rsidP="00B61D99">
            <w:pPr>
              <w:widowControl/>
              <w:jc w:val="center"/>
              <w:rPr>
                <w:rFonts w:ascii="黑体" w:hAnsi="黑体" w:cs="@MingLiU"/>
                <w:b/>
                <w:bCs/>
                <w:kern w:val="0"/>
                <w:szCs w:val="21"/>
              </w:rPr>
            </w:pPr>
            <w:r>
              <w:rPr>
                <w:rFonts w:ascii="黑体" w:hAnsi="黑体" w:cs="@MingLiU" w:hint="eastAsia"/>
                <w:b/>
                <w:bCs/>
                <w:kern w:val="0"/>
                <w:szCs w:val="21"/>
              </w:rPr>
              <w:t>采购标的所属行业</w:t>
            </w:r>
          </w:p>
        </w:tc>
        <w:tc>
          <w:tcPr>
            <w:tcW w:w="1134" w:type="dxa"/>
            <w:vAlign w:val="center"/>
          </w:tcPr>
          <w:p w:rsidR="00A81C35" w:rsidRDefault="00A81C35" w:rsidP="00B61D99">
            <w:pPr>
              <w:widowControl/>
              <w:jc w:val="center"/>
              <w:rPr>
                <w:rFonts w:ascii="黑体" w:hAnsi="黑体" w:cs="@MingLiU"/>
                <w:b/>
                <w:bCs/>
                <w:kern w:val="0"/>
                <w:szCs w:val="21"/>
              </w:rPr>
            </w:pPr>
            <w:r>
              <w:rPr>
                <w:rFonts w:ascii="黑体" w:hAnsi="黑体" w:cs="@MingLiU" w:hint="eastAsia"/>
                <w:b/>
                <w:bCs/>
                <w:kern w:val="0"/>
                <w:szCs w:val="21"/>
              </w:rPr>
              <w:t>交货地点</w:t>
            </w:r>
          </w:p>
        </w:tc>
      </w:tr>
      <w:tr w:rsidR="00A81C35" w:rsidTr="00B61D99">
        <w:trPr>
          <w:trHeight w:val="1963"/>
          <w:jc w:val="center"/>
        </w:trPr>
        <w:tc>
          <w:tcPr>
            <w:tcW w:w="1276" w:type="dxa"/>
            <w:vAlign w:val="center"/>
          </w:tcPr>
          <w:p w:rsidR="00A81C35" w:rsidRDefault="00A81C35" w:rsidP="00B61D99">
            <w:pPr>
              <w:jc w:val="center"/>
              <w:rPr>
                <w:rFonts w:ascii="黑体" w:hAnsi="黑体" w:cs="@MingLiU"/>
                <w:szCs w:val="21"/>
              </w:rPr>
            </w:pPr>
            <w:r>
              <w:rPr>
                <w:rFonts w:ascii="黑体" w:hAnsi="黑体" w:cs="@MingLiU" w:hint="eastAsia"/>
                <w:szCs w:val="21"/>
              </w:rPr>
              <w:t>有机肥</w:t>
            </w:r>
          </w:p>
        </w:tc>
        <w:tc>
          <w:tcPr>
            <w:tcW w:w="4510" w:type="dxa"/>
            <w:vAlign w:val="center"/>
          </w:tcPr>
          <w:p w:rsidR="00A81C35" w:rsidRDefault="00A81C35" w:rsidP="00A81C35">
            <w:pPr>
              <w:numPr>
                <w:ilvl w:val="0"/>
                <w:numId w:val="1"/>
              </w:numPr>
              <w:jc w:val="left"/>
              <w:rPr>
                <w:rFonts w:ascii="黑体" w:hAnsi="黑体" w:cs="@MingLiU"/>
                <w:szCs w:val="21"/>
              </w:rPr>
            </w:pPr>
            <w:r>
              <w:rPr>
                <w:rFonts w:ascii="黑体" w:hAnsi="黑体" w:cs="@MingLiU" w:hint="eastAsia"/>
                <w:szCs w:val="21"/>
              </w:rPr>
              <w:t>有机肥生产原料符合</w:t>
            </w:r>
            <w:r>
              <w:rPr>
                <w:rFonts w:ascii="黑体" w:hAnsi="黑体" w:cs="@MingLiU" w:hint="eastAsia"/>
                <w:szCs w:val="21"/>
              </w:rPr>
              <w:t>NY/T 525</w:t>
            </w:r>
            <w:r>
              <w:rPr>
                <w:rFonts w:ascii="黑体" w:hAnsi="黑体" w:cs="@MingLiU" w:hint="eastAsia"/>
                <w:szCs w:val="21"/>
              </w:rPr>
              <w:t>—</w:t>
            </w:r>
            <w:r>
              <w:rPr>
                <w:rFonts w:ascii="黑体" w:hAnsi="黑体" w:cs="@MingLiU" w:hint="eastAsia"/>
                <w:szCs w:val="21"/>
              </w:rPr>
              <w:t>2021</w:t>
            </w:r>
            <w:r>
              <w:rPr>
                <w:rFonts w:ascii="黑体" w:hAnsi="黑体" w:cs="@MingLiU" w:hint="eastAsia"/>
                <w:szCs w:val="21"/>
              </w:rPr>
              <w:t>要求，但不包括中药渣、和含腐殖酸的褐煤等；</w:t>
            </w:r>
          </w:p>
          <w:p w:rsidR="00A81C35" w:rsidRDefault="00A81C35" w:rsidP="00B61D99">
            <w:pPr>
              <w:jc w:val="left"/>
              <w:rPr>
                <w:rFonts w:ascii="黑体" w:hAnsi="黑体" w:cs="@MingLiU"/>
                <w:szCs w:val="21"/>
              </w:rPr>
            </w:pPr>
            <w:r>
              <w:rPr>
                <w:rFonts w:ascii="黑体" w:hAnsi="黑体" w:cs="@MingLiU" w:hint="eastAsia"/>
                <w:bCs/>
                <w:szCs w:val="21"/>
              </w:rPr>
              <w:t>2</w:t>
            </w:r>
            <w:r>
              <w:rPr>
                <w:rFonts w:ascii="黑体" w:hAnsi="黑体" w:cs="@MingLiU" w:hint="eastAsia"/>
                <w:szCs w:val="21"/>
              </w:rPr>
              <w:t>总养分（</w:t>
            </w:r>
            <w:r>
              <w:rPr>
                <w:rFonts w:ascii="黑体" w:hAnsi="黑体" w:cs="@MingLiU" w:hint="eastAsia"/>
                <w:szCs w:val="21"/>
              </w:rPr>
              <w:t>N+P2O5 +K20</w:t>
            </w:r>
            <w:r>
              <w:rPr>
                <w:rFonts w:ascii="黑体" w:hAnsi="黑体" w:cs="@MingLiU" w:hint="eastAsia"/>
                <w:szCs w:val="21"/>
              </w:rPr>
              <w:t>）含量（以干基计）</w:t>
            </w:r>
            <w:r>
              <w:rPr>
                <w:rFonts w:ascii="黑体" w:hAnsi="黑体" w:cs="@MingLiU" w:hint="eastAsia"/>
                <w:szCs w:val="21"/>
              </w:rPr>
              <w:t>/</w:t>
            </w:r>
            <w:r>
              <w:rPr>
                <w:rFonts w:ascii="黑体" w:hAnsi="黑体" w:cs="@MingLiU" w:hint="eastAsia"/>
                <w:szCs w:val="21"/>
              </w:rPr>
              <w:t>（</w:t>
            </w:r>
            <w:r>
              <w:rPr>
                <w:rFonts w:ascii="黑体" w:hAnsi="黑体" w:cs="@MingLiU" w:hint="eastAsia"/>
                <w:szCs w:val="21"/>
              </w:rPr>
              <w:t>%</w:t>
            </w:r>
            <w:r>
              <w:rPr>
                <w:rFonts w:ascii="黑体" w:hAnsi="黑体" w:cs="@MingLiU" w:hint="eastAsia"/>
                <w:szCs w:val="21"/>
              </w:rPr>
              <w:t>）：≥</w:t>
            </w:r>
            <w:r>
              <w:rPr>
                <w:rFonts w:ascii="黑体" w:hAnsi="黑体" w:cs="@MingLiU" w:hint="eastAsia"/>
                <w:szCs w:val="21"/>
              </w:rPr>
              <w:t>4.0</w:t>
            </w:r>
            <w:r>
              <w:rPr>
                <w:rFonts w:ascii="黑体" w:hAnsi="黑体" w:cs="@MingLiU" w:hint="eastAsia"/>
                <w:szCs w:val="21"/>
              </w:rPr>
              <w:t>；</w:t>
            </w:r>
          </w:p>
          <w:p w:rsidR="00A81C35" w:rsidRDefault="00A81C35" w:rsidP="00B61D99">
            <w:pPr>
              <w:jc w:val="left"/>
              <w:rPr>
                <w:rFonts w:ascii="黑体" w:hAnsi="黑体" w:cs="@MingLiU"/>
                <w:szCs w:val="21"/>
              </w:rPr>
            </w:pPr>
            <w:r>
              <w:rPr>
                <w:rFonts w:ascii="黑体" w:hAnsi="黑体" w:cs="@MingLiU" w:hint="eastAsia"/>
                <w:szCs w:val="21"/>
              </w:rPr>
              <w:t>3.</w:t>
            </w:r>
            <w:r>
              <w:rPr>
                <w:rFonts w:ascii="黑体" w:hAnsi="黑体" w:cs="@MingLiU" w:hint="eastAsia"/>
                <w:szCs w:val="21"/>
              </w:rPr>
              <w:t>有机质含量（以干基计）：≥</w:t>
            </w:r>
            <w:r>
              <w:rPr>
                <w:rFonts w:ascii="黑体" w:hAnsi="黑体" w:cs="@MingLiU" w:hint="eastAsia"/>
                <w:szCs w:val="21"/>
              </w:rPr>
              <w:t>30%</w:t>
            </w:r>
            <w:r>
              <w:rPr>
                <w:rFonts w:ascii="黑体" w:hAnsi="黑体" w:cs="@MingLiU" w:hint="eastAsia"/>
                <w:szCs w:val="21"/>
              </w:rPr>
              <w:t>；</w:t>
            </w:r>
          </w:p>
          <w:p w:rsidR="00A81C35" w:rsidRDefault="00A81C35" w:rsidP="00B61D99">
            <w:pPr>
              <w:jc w:val="left"/>
              <w:rPr>
                <w:rFonts w:ascii="黑体" w:hAnsi="黑体" w:cs="@MingLiU"/>
                <w:szCs w:val="21"/>
              </w:rPr>
            </w:pPr>
            <w:r>
              <w:rPr>
                <w:rFonts w:ascii="黑体" w:hAnsi="黑体" w:cs="@MingLiU" w:hint="eastAsia"/>
                <w:szCs w:val="21"/>
              </w:rPr>
              <w:t>4.</w:t>
            </w:r>
            <w:r>
              <w:rPr>
                <w:rFonts w:ascii="黑体" w:hAnsi="黑体" w:cs="@MingLiU" w:hint="eastAsia"/>
                <w:szCs w:val="21"/>
              </w:rPr>
              <w:t>水分（游离水）含量</w:t>
            </w:r>
            <w:r>
              <w:rPr>
                <w:rFonts w:ascii="黑体" w:hAnsi="黑体" w:cs="@MingLiU" w:hint="eastAsia"/>
                <w:szCs w:val="21"/>
              </w:rPr>
              <w:t>/</w:t>
            </w:r>
            <w:r>
              <w:rPr>
                <w:rFonts w:ascii="黑体" w:hAnsi="黑体" w:cs="@MingLiU" w:hint="eastAsia"/>
                <w:szCs w:val="21"/>
              </w:rPr>
              <w:t>（</w:t>
            </w:r>
            <w:r>
              <w:rPr>
                <w:rFonts w:ascii="黑体" w:hAnsi="黑体" w:cs="@MingLiU" w:hint="eastAsia"/>
                <w:szCs w:val="21"/>
              </w:rPr>
              <w:t>%</w:t>
            </w:r>
            <w:r>
              <w:rPr>
                <w:rFonts w:ascii="黑体" w:hAnsi="黑体" w:cs="@MingLiU" w:hint="eastAsia"/>
                <w:szCs w:val="21"/>
              </w:rPr>
              <w:t>）</w:t>
            </w:r>
            <w:r>
              <w:rPr>
                <w:rFonts w:ascii="黑体" w:hAnsi="黑体" w:cs="@MingLiU" w:hint="eastAsia"/>
                <w:szCs w:val="21"/>
              </w:rPr>
              <w:t xml:space="preserve"> </w:t>
            </w:r>
            <w:r>
              <w:rPr>
                <w:rFonts w:ascii="黑体" w:hAnsi="黑体" w:cs="@MingLiU" w:hint="eastAsia"/>
                <w:szCs w:val="21"/>
              </w:rPr>
              <w:t>≤</w:t>
            </w:r>
            <w:r>
              <w:rPr>
                <w:rFonts w:ascii="黑体" w:hAnsi="黑体" w:cs="@MingLiU" w:hint="eastAsia"/>
                <w:szCs w:val="21"/>
              </w:rPr>
              <w:t>30%</w:t>
            </w:r>
            <w:r>
              <w:rPr>
                <w:rFonts w:ascii="黑体" w:hAnsi="黑体" w:cs="@MingLiU" w:hint="eastAsia"/>
                <w:szCs w:val="21"/>
              </w:rPr>
              <w:t>；</w:t>
            </w:r>
          </w:p>
          <w:p w:rsidR="00A81C35" w:rsidRDefault="00A81C35" w:rsidP="00B61D99">
            <w:pPr>
              <w:jc w:val="left"/>
              <w:rPr>
                <w:rFonts w:ascii="黑体" w:hAnsi="黑体" w:cs="@MingLiU"/>
                <w:szCs w:val="21"/>
              </w:rPr>
            </w:pPr>
            <w:r>
              <w:rPr>
                <w:rFonts w:ascii="黑体" w:hAnsi="黑体" w:cs="@MingLiU" w:hint="eastAsia"/>
                <w:szCs w:val="21"/>
              </w:rPr>
              <w:t xml:space="preserve">5.pH </w:t>
            </w:r>
            <w:r>
              <w:rPr>
                <w:rFonts w:ascii="黑体" w:hAnsi="黑体" w:cs="@MingLiU" w:hint="eastAsia"/>
                <w:szCs w:val="21"/>
              </w:rPr>
              <w:t>值（酸碱度）</w:t>
            </w:r>
            <w:r>
              <w:rPr>
                <w:rFonts w:ascii="黑体" w:hAnsi="黑体" w:cs="@MingLiU" w:hint="eastAsia"/>
                <w:szCs w:val="21"/>
              </w:rPr>
              <w:t xml:space="preserve"> 5.5-8.5</w:t>
            </w:r>
            <w:r>
              <w:rPr>
                <w:rFonts w:ascii="黑体" w:hAnsi="黑体" w:cs="@MingLiU" w:hint="eastAsia"/>
                <w:szCs w:val="21"/>
              </w:rPr>
              <w:t>；</w:t>
            </w:r>
            <w:r>
              <w:rPr>
                <w:rFonts w:ascii="黑体" w:hAnsi="黑体" w:cs="@MingLiU" w:hint="eastAsia"/>
                <w:szCs w:val="21"/>
              </w:rPr>
              <w:t>5.</w:t>
            </w:r>
            <w:r>
              <w:rPr>
                <w:rFonts w:ascii="黑体" w:hAnsi="黑体" w:cs="@MingLiU" w:hint="eastAsia"/>
                <w:szCs w:val="21"/>
              </w:rPr>
              <w:t>种子发芽指数（</w:t>
            </w:r>
            <w:r>
              <w:rPr>
                <w:rFonts w:ascii="黑体" w:hAnsi="黑体" w:cs="@MingLiU" w:hint="eastAsia"/>
                <w:szCs w:val="21"/>
              </w:rPr>
              <w:t>GI</w:t>
            </w:r>
            <w:r>
              <w:rPr>
                <w:rFonts w:ascii="黑体" w:hAnsi="黑体" w:cs="@MingLiU" w:hint="eastAsia"/>
                <w:szCs w:val="21"/>
              </w:rPr>
              <w:t>）：≥</w:t>
            </w:r>
            <w:r>
              <w:rPr>
                <w:rFonts w:ascii="黑体" w:hAnsi="黑体" w:cs="@MingLiU" w:hint="eastAsia"/>
                <w:szCs w:val="21"/>
              </w:rPr>
              <w:t>70%</w:t>
            </w:r>
            <w:r>
              <w:rPr>
                <w:rFonts w:ascii="黑体" w:hAnsi="黑体" w:cs="@MingLiU" w:hint="eastAsia"/>
                <w:szCs w:val="21"/>
              </w:rPr>
              <w:t>。</w:t>
            </w:r>
          </w:p>
        </w:tc>
        <w:tc>
          <w:tcPr>
            <w:tcW w:w="992" w:type="dxa"/>
            <w:vAlign w:val="center"/>
          </w:tcPr>
          <w:p w:rsidR="00A81C35" w:rsidRDefault="00A81C35" w:rsidP="00B61D99">
            <w:pPr>
              <w:jc w:val="center"/>
              <w:rPr>
                <w:rFonts w:ascii="黑体" w:eastAsia="宋体" w:hAnsi="黑体" w:cs="@MingLiU"/>
                <w:szCs w:val="21"/>
              </w:rPr>
            </w:pPr>
            <w:r>
              <w:rPr>
                <w:rFonts w:ascii="黑体" w:hAnsi="黑体" w:cs="@MingLiU" w:hint="eastAsia"/>
                <w:szCs w:val="21"/>
              </w:rPr>
              <w:t>180</w:t>
            </w:r>
          </w:p>
        </w:tc>
        <w:tc>
          <w:tcPr>
            <w:tcW w:w="567" w:type="dxa"/>
            <w:vAlign w:val="center"/>
          </w:tcPr>
          <w:p w:rsidR="00A81C35" w:rsidRDefault="00A81C35" w:rsidP="00B61D99">
            <w:pPr>
              <w:jc w:val="center"/>
              <w:rPr>
                <w:rFonts w:ascii="黑体" w:hAnsi="黑体" w:cs="@MingLiU"/>
                <w:szCs w:val="21"/>
              </w:rPr>
            </w:pPr>
            <w:r>
              <w:rPr>
                <w:rFonts w:ascii="黑体" w:hAnsi="黑体" w:cs="@MingLiU" w:hint="eastAsia"/>
                <w:szCs w:val="21"/>
              </w:rPr>
              <w:t>吨</w:t>
            </w:r>
          </w:p>
        </w:tc>
        <w:tc>
          <w:tcPr>
            <w:tcW w:w="646" w:type="dxa"/>
            <w:vAlign w:val="center"/>
          </w:tcPr>
          <w:p w:rsidR="00A81C35" w:rsidRDefault="00A81C35" w:rsidP="00B61D99">
            <w:pPr>
              <w:jc w:val="center"/>
              <w:rPr>
                <w:rFonts w:hAnsi="黑体"/>
                <w:bCs/>
                <w:szCs w:val="21"/>
              </w:rPr>
            </w:pPr>
            <w:r>
              <w:rPr>
                <w:rFonts w:hAnsi="黑体" w:hint="eastAsia"/>
                <w:bCs/>
                <w:szCs w:val="21"/>
              </w:rPr>
              <w:t>农业</w:t>
            </w:r>
          </w:p>
        </w:tc>
        <w:tc>
          <w:tcPr>
            <w:tcW w:w="1134" w:type="dxa"/>
            <w:vAlign w:val="center"/>
          </w:tcPr>
          <w:p w:rsidR="00A81C35" w:rsidRDefault="00A81C35" w:rsidP="00B61D99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永仁县永定镇小尖山油橄榄基地</w:t>
            </w:r>
          </w:p>
        </w:tc>
      </w:tr>
    </w:tbl>
    <w:p w:rsidR="006D75DD" w:rsidRPr="00A81C35" w:rsidRDefault="006D75DD">
      <w:bookmarkStart w:id="0" w:name="_GoBack"/>
      <w:bookmarkEnd w:id="0"/>
    </w:p>
    <w:sectPr w:rsidR="006D75DD" w:rsidRPr="00A81C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@MingLiU">
    <w:charset w:val="88"/>
    <w:family w:val="moder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D8910D"/>
    <w:multiLevelType w:val="singleLevel"/>
    <w:tmpl w:val="80D8910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35"/>
    <w:rsid w:val="006D75DD"/>
    <w:rsid w:val="00A8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81C35"/>
    <w:pPr>
      <w:widowControl w:val="0"/>
      <w:jc w:val="both"/>
    </w:pPr>
    <w:rPr>
      <w:rFonts w:ascii="等线 Light" w:hAnsi="等线 Light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A81C35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A81C35"/>
    <w:rPr>
      <w:rFonts w:ascii="等线 Light" w:hAnsi="等线 Ligh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81C35"/>
    <w:pPr>
      <w:widowControl w:val="0"/>
      <w:jc w:val="both"/>
    </w:pPr>
    <w:rPr>
      <w:rFonts w:ascii="等线 Light" w:hAnsi="等线 Light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A81C35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A81C35"/>
    <w:rPr>
      <w:rFonts w:ascii="等线 Light" w:hAnsi="等线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liao</dc:creator>
  <cp:lastModifiedBy>liao</cp:lastModifiedBy>
  <cp:revision>1</cp:revision>
  <dcterms:created xsi:type="dcterms:W3CDTF">2022-06-07T08:51:00Z</dcterms:created>
  <dcterms:modified xsi:type="dcterms:W3CDTF">2022-06-07T08:51:00Z</dcterms:modified>
</cp:coreProperties>
</file>